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683" w:rsidRPr="00D33683" w:rsidRDefault="00D33683" w:rsidP="00D33683">
      <w:pPr>
        <w:pStyle w:val="Heading1"/>
        <w:rPr>
          <w:rFonts w:ascii="Times" w:hAnsi="Times" w:cs="Times"/>
        </w:rPr>
      </w:pPr>
      <w:r w:rsidRPr="00D33683">
        <w:t xml:space="preserve">Summary of changes to membership under a single national organisation </w:t>
      </w:r>
    </w:p>
    <w:p w:rsidR="00D33683" w:rsidRPr="00D33683" w:rsidRDefault="00D33683" w:rsidP="00D33683">
      <w:pPr>
        <w:pStyle w:val="Heading2"/>
        <w:rPr>
          <w:rFonts w:ascii="Times" w:hAnsi="Times" w:cs="Times"/>
        </w:rPr>
      </w:pPr>
      <w:r w:rsidRPr="00D33683">
        <w:t xml:space="preserve">Categories of membership </w:t>
      </w:r>
    </w:p>
    <w:tbl>
      <w:tblPr>
        <w:tblStyle w:val="LightList-Accent5"/>
        <w:tblW w:w="14709" w:type="dxa"/>
        <w:tblBorders>
          <w:insideH w:val="single" w:sz="8" w:space="0" w:color="4BACC6" w:themeColor="accent5"/>
          <w:insideV w:val="single" w:sz="8" w:space="0" w:color="4BACC6" w:themeColor="accent5"/>
        </w:tblBorders>
        <w:tblLayout w:type="fixed"/>
        <w:tblLook w:val="04A0" w:firstRow="1" w:lastRow="0" w:firstColumn="1" w:lastColumn="0" w:noHBand="0" w:noVBand="1"/>
      </w:tblPr>
      <w:tblGrid>
        <w:gridCol w:w="1668"/>
        <w:gridCol w:w="1370"/>
        <w:gridCol w:w="1134"/>
        <w:gridCol w:w="2173"/>
        <w:gridCol w:w="5103"/>
        <w:gridCol w:w="3261"/>
      </w:tblGrid>
      <w:tr w:rsidR="00D33683" w:rsidRPr="00E35CFA" w:rsidTr="00C826E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8" w:type="dxa"/>
          </w:tcPr>
          <w:p w:rsidR="00D33683" w:rsidRPr="00E35CFA" w:rsidRDefault="00D33683">
            <w:pPr>
              <w:rPr>
                <w:rFonts w:ascii="Helvetica" w:hAnsi="Helvetica"/>
                <w:sz w:val="22"/>
                <w:szCs w:val="22"/>
              </w:rPr>
            </w:pPr>
            <w:r w:rsidRPr="00E35CFA">
              <w:rPr>
                <w:rFonts w:ascii="Helvetica" w:hAnsi="Helvetica" w:cs="Calibri"/>
                <w:b w:val="0"/>
                <w:bCs w:val="0"/>
                <w:sz w:val="22"/>
                <w:szCs w:val="22"/>
              </w:rPr>
              <w:t>Classification</w:t>
            </w:r>
          </w:p>
        </w:tc>
        <w:tc>
          <w:tcPr>
            <w:tcW w:w="1370" w:type="dxa"/>
          </w:tcPr>
          <w:p w:rsidR="00D33683" w:rsidRPr="00E35CFA" w:rsidRDefault="00D33683" w:rsidP="00D33683">
            <w:pPr>
              <w:widowControl w:val="0"/>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Helvetica" w:hAnsi="Helvetica" w:cs="Times"/>
                <w:sz w:val="22"/>
                <w:szCs w:val="22"/>
              </w:rPr>
            </w:pPr>
            <w:r w:rsidRPr="00E35CFA">
              <w:rPr>
                <w:rFonts w:ascii="Helvetica" w:hAnsi="Helvetica" w:cs="Calibri"/>
                <w:b w:val="0"/>
                <w:bCs w:val="0"/>
                <w:sz w:val="22"/>
                <w:szCs w:val="22"/>
              </w:rPr>
              <w:t xml:space="preserve">Category </w:t>
            </w:r>
          </w:p>
          <w:p w:rsidR="00D33683" w:rsidRPr="00E35CFA" w:rsidRDefault="00D33683">
            <w:pPr>
              <w:cnfStyle w:val="100000000000" w:firstRow="1" w:lastRow="0" w:firstColumn="0" w:lastColumn="0" w:oddVBand="0" w:evenVBand="0" w:oddHBand="0" w:evenHBand="0" w:firstRowFirstColumn="0" w:firstRowLastColumn="0" w:lastRowFirstColumn="0" w:lastRowLastColumn="0"/>
              <w:rPr>
                <w:rFonts w:ascii="Helvetica" w:hAnsi="Helvetica"/>
                <w:sz w:val="22"/>
                <w:szCs w:val="22"/>
              </w:rPr>
            </w:pPr>
          </w:p>
        </w:tc>
        <w:tc>
          <w:tcPr>
            <w:tcW w:w="1134" w:type="dxa"/>
          </w:tcPr>
          <w:p w:rsidR="00D33683" w:rsidRPr="00E35CFA" w:rsidRDefault="00D33683" w:rsidP="00D33683">
            <w:pPr>
              <w:widowControl w:val="0"/>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Helvetica" w:hAnsi="Helvetica" w:cs="Calibri"/>
                <w:b w:val="0"/>
                <w:bCs w:val="0"/>
                <w:sz w:val="22"/>
                <w:szCs w:val="22"/>
              </w:rPr>
            </w:pPr>
            <w:r w:rsidRPr="00E35CFA">
              <w:rPr>
                <w:rFonts w:ascii="Helvetica" w:hAnsi="Helvetica" w:cs="Calibri"/>
                <w:b w:val="0"/>
                <w:bCs w:val="0"/>
                <w:sz w:val="22"/>
                <w:szCs w:val="22"/>
              </w:rPr>
              <w:t>Current Fee</w:t>
            </w:r>
          </w:p>
        </w:tc>
        <w:tc>
          <w:tcPr>
            <w:tcW w:w="2173" w:type="dxa"/>
          </w:tcPr>
          <w:p w:rsidR="00D33683" w:rsidRPr="00E35CFA" w:rsidRDefault="00D33683" w:rsidP="00D33683">
            <w:pPr>
              <w:widowControl w:val="0"/>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Helvetica" w:hAnsi="Helvetica" w:cs="Times"/>
                <w:sz w:val="22"/>
                <w:szCs w:val="22"/>
              </w:rPr>
            </w:pPr>
            <w:r w:rsidRPr="00E35CFA">
              <w:rPr>
                <w:rFonts w:ascii="Helvetica" w:hAnsi="Helvetica" w:cs="Calibri"/>
                <w:b w:val="0"/>
                <w:bCs w:val="0"/>
                <w:sz w:val="22"/>
                <w:szCs w:val="22"/>
              </w:rPr>
              <w:t xml:space="preserve">New Fee </w:t>
            </w:r>
          </w:p>
          <w:p w:rsidR="00D33683" w:rsidRPr="00E35CFA" w:rsidRDefault="00D33683">
            <w:pPr>
              <w:cnfStyle w:val="100000000000" w:firstRow="1" w:lastRow="0" w:firstColumn="0" w:lastColumn="0" w:oddVBand="0" w:evenVBand="0" w:oddHBand="0" w:evenHBand="0" w:firstRowFirstColumn="0" w:firstRowLastColumn="0" w:lastRowFirstColumn="0" w:lastRowLastColumn="0"/>
              <w:rPr>
                <w:rFonts w:ascii="Helvetica" w:hAnsi="Helvetica"/>
                <w:sz w:val="22"/>
                <w:szCs w:val="22"/>
              </w:rPr>
            </w:pPr>
          </w:p>
        </w:tc>
        <w:tc>
          <w:tcPr>
            <w:tcW w:w="5103" w:type="dxa"/>
          </w:tcPr>
          <w:p w:rsidR="00D33683" w:rsidRPr="00E35CFA" w:rsidRDefault="00D33683" w:rsidP="00D33683">
            <w:pPr>
              <w:widowControl w:val="0"/>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Helvetica" w:hAnsi="Helvetica" w:cs="Times"/>
                <w:sz w:val="22"/>
                <w:szCs w:val="22"/>
              </w:rPr>
            </w:pPr>
            <w:r w:rsidRPr="00E35CFA">
              <w:rPr>
                <w:rFonts w:ascii="Helvetica" w:hAnsi="Helvetica" w:cs="Calibri"/>
                <w:b w:val="0"/>
                <w:bCs w:val="0"/>
                <w:sz w:val="22"/>
                <w:szCs w:val="22"/>
              </w:rPr>
              <w:t xml:space="preserve">Criteria </w:t>
            </w:r>
          </w:p>
          <w:p w:rsidR="00D33683" w:rsidRPr="00E35CFA" w:rsidRDefault="00D33683">
            <w:pPr>
              <w:cnfStyle w:val="100000000000" w:firstRow="1" w:lastRow="0" w:firstColumn="0" w:lastColumn="0" w:oddVBand="0" w:evenVBand="0" w:oddHBand="0" w:evenHBand="0" w:firstRowFirstColumn="0" w:firstRowLastColumn="0" w:lastRowFirstColumn="0" w:lastRowLastColumn="0"/>
              <w:rPr>
                <w:rFonts w:ascii="Helvetica" w:hAnsi="Helvetica"/>
                <w:sz w:val="22"/>
                <w:szCs w:val="22"/>
              </w:rPr>
            </w:pPr>
          </w:p>
        </w:tc>
        <w:tc>
          <w:tcPr>
            <w:tcW w:w="3261" w:type="dxa"/>
          </w:tcPr>
          <w:p w:rsidR="00D33683" w:rsidRPr="00E35CFA" w:rsidRDefault="00D33683" w:rsidP="00D33683">
            <w:pPr>
              <w:widowControl w:val="0"/>
              <w:autoSpaceDE w:val="0"/>
              <w:autoSpaceDN w:val="0"/>
              <w:adjustRightInd w:val="0"/>
              <w:spacing w:after="240"/>
              <w:cnfStyle w:val="100000000000" w:firstRow="1" w:lastRow="0" w:firstColumn="0" w:lastColumn="0" w:oddVBand="0" w:evenVBand="0" w:oddHBand="0" w:evenHBand="0" w:firstRowFirstColumn="0" w:firstRowLastColumn="0" w:lastRowFirstColumn="0" w:lastRowLastColumn="0"/>
              <w:rPr>
                <w:rFonts w:ascii="Helvetica" w:hAnsi="Helvetica" w:cs="Times"/>
                <w:sz w:val="22"/>
                <w:szCs w:val="22"/>
              </w:rPr>
            </w:pPr>
            <w:r w:rsidRPr="00E35CFA">
              <w:rPr>
                <w:rFonts w:ascii="Helvetica" w:hAnsi="Helvetica" w:cs="Calibri"/>
                <w:b w:val="0"/>
                <w:bCs w:val="0"/>
                <w:sz w:val="22"/>
                <w:szCs w:val="22"/>
              </w:rPr>
              <w:t xml:space="preserve">What’s different? </w:t>
            </w:r>
          </w:p>
          <w:p w:rsidR="00D33683" w:rsidRPr="00E35CFA" w:rsidRDefault="00D33683">
            <w:pPr>
              <w:cnfStyle w:val="100000000000" w:firstRow="1" w:lastRow="0" w:firstColumn="0" w:lastColumn="0" w:oddVBand="0" w:evenVBand="0" w:oddHBand="0" w:evenHBand="0" w:firstRowFirstColumn="0" w:firstRowLastColumn="0" w:lastRowFirstColumn="0" w:lastRowLastColumn="0"/>
              <w:rPr>
                <w:rFonts w:ascii="Helvetica" w:hAnsi="Helvetica"/>
                <w:sz w:val="22"/>
                <w:szCs w:val="22"/>
              </w:rPr>
            </w:pPr>
          </w:p>
        </w:tc>
      </w:tr>
      <w:tr w:rsidR="00D33683" w:rsidRPr="00E35CFA" w:rsidTr="00C826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tcBorders>
          </w:tcPr>
          <w:p w:rsidR="00D33683" w:rsidRPr="00C826E7" w:rsidRDefault="00D33683" w:rsidP="00D33683">
            <w:pPr>
              <w:widowControl w:val="0"/>
              <w:autoSpaceDE w:val="0"/>
              <w:autoSpaceDN w:val="0"/>
              <w:adjustRightInd w:val="0"/>
              <w:spacing w:after="240"/>
              <w:rPr>
                <w:rFonts w:ascii="Helvetica" w:hAnsi="Helvetica" w:cs="Times"/>
                <w:sz w:val="22"/>
                <w:szCs w:val="22"/>
              </w:rPr>
            </w:pPr>
            <w:r w:rsidRPr="00C826E7">
              <w:rPr>
                <w:rFonts w:ascii="Helvetica" w:hAnsi="Helvetica" w:cs="Calibri"/>
                <w:bCs w:val="0"/>
                <w:sz w:val="22"/>
                <w:szCs w:val="22"/>
              </w:rPr>
              <w:t xml:space="preserve">Student (Non-voting) </w:t>
            </w:r>
          </w:p>
          <w:p w:rsidR="00D33683" w:rsidRPr="00E35CFA" w:rsidRDefault="00D33683">
            <w:pPr>
              <w:rPr>
                <w:rFonts w:ascii="Helvetica" w:hAnsi="Helvetica"/>
                <w:sz w:val="22"/>
                <w:szCs w:val="22"/>
              </w:rPr>
            </w:pPr>
          </w:p>
        </w:tc>
        <w:tc>
          <w:tcPr>
            <w:tcW w:w="1370" w:type="dxa"/>
            <w:tcBorders>
              <w:top w:val="none" w:sz="0" w:space="0" w:color="auto"/>
              <w:bottom w:val="none" w:sz="0" w:space="0" w:color="auto"/>
            </w:tcBorders>
          </w:tcPr>
          <w:p w:rsidR="00D33683" w:rsidRPr="00E35CFA" w:rsidRDefault="00D33683" w:rsidP="00D33683">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Helvetica" w:hAnsi="Helvetica" w:cs="Times"/>
                <w:sz w:val="22"/>
                <w:szCs w:val="22"/>
              </w:rPr>
            </w:pPr>
            <w:r w:rsidRPr="00E35CFA">
              <w:rPr>
                <w:rFonts w:ascii="Helvetica" w:hAnsi="Helvetica" w:cs="Calibri"/>
                <w:sz w:val="22"/>
                <w:szCs w:val="22"/>
              </w:rPr>
              <w:t xml:space="preserve">Equivalent to current Student member </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1134" w:type="dxa"/>
            <w:tcBorders>
              <w:top w:val="none" w:sz="0" w:space="0" w:color="auto"/>
              <w:bottom w:val="none" w:sz="0" w:space="0" w:color="auto"/>
            </w:tcBorders>
          </w:tcPr>
          <w:p w:rsidR="00D33683" w:rsidRPr="00E35CFA" w:rsidRDefault="00D33683" w:rsidP="00D33683">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Helvetica" w:hAnsi="Helvetica" w:cs="Calibri"/>
                <w:sz w:val="22"/>
                <w:szCs w:val="22"/>
              </w:rPr>
            </w:pPr>
            <w:r w:rsidRPr="00E35CFA">
              <w:rPr>
                <w:rFonts w:ascii="Helvetica" w:hAnsi="Helvetica" w:cs="Calibri"/>
                <w:sz w:val="22"/>
                <w:szCs w:val="22"/>
              </w:rPr>
              <w:t>$45</w:t>
            </w:r>
          </w:p>
        </w:tc>
        <w:tc>
          <w:tcPr>
            <w:tcW w:w="2173" w:type="dxa"/>
            <w:tcBorders>
              <w:top w:val="none" w:sz="0" w:space="0" w:color="auto"/>
              <w:bottom w:val="none" w:sz="0" w:space="0" w:color="auto"/>
            </w:tcBorders>
          </w:tcPr>
          <w:p w:rsidR="00D33683" w:rsidRPr="00E35CFA" w:rsidRDefault="00D33683" w:rsidP="00D33683">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Helvetica" w:hAnsi="Helvetica" w:cs="Times"/>
                <w:sz w:val="22"/>
                <w:szCs w:val="22"/>
              </w:rPr>
            </w:pPr>
            <w:r w:rsidRPr="00E35CFA">
              <w:rPr>
                <w:rFonts w:ascii="Helvetica" w:hAnsi="Helvetica" w:cs="Calibri"/>
                <w:sz w:val="22"/>
                <w:szCs w:val="22"/>
              </w:rPr>
              <w:t xml:space="preserve">$65  </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5103" w:type="dxa"/>
            <w:tcBorders>
              <w:top w:val="none" w:sz="0" w:space="0" w:color="auto"/>
              <w:bottom w:val="none" w:sz="0" w:space="0" w:color="auto"/>
            </w:tcBorders>
          </w:tcPr>
          <w:p w:rsidR="00D33683" w:rsidRPr="00E35CFA" w:rsidRDefault="00D33683" w:rsidP="00D33683">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Helvetica" w:hAnsi="Helvetica" w:cs="Times"/>
                <w:sz w:val="22"/>
                <w:szCs w:val="22"/>
              </w:rPr>
            </w:pPr>
            <w:r w:rsidRPr="00E35CFA">
              <w:rPr>
                <w:rFonts w:ascii="Helvetica" w:hAnsi="Helvetica" w:cs="Calibri"/>
                <w:sz w:val="22"/>
                <w:szCs w:val="22"/>
              </w:rPr>
              <w:t xml:space="preserve">Any student, full time or part time, enrolled in an </w:t>
            </w:r>
            <w:r w:rsidRPr="00E35CFA">
              <w:rPr>
                <w:rFonts w:ascii="Helvetica" w:hAnsi="Helvetica" w:cs="Calibri"/>
                <w:b/>
                <w:bCs/>
                <w:sz w:val="22"/>
                <w:szCs w:val="22"/>
              </w:rPr>
              <w:t>eligible course</w:t>
            </w:r>
            <w:r w:rsidRPr="00E35CFA">
              <w:rPr>
                <w:rFonts w:ascii="Helvetica" w:hAnsi="Helvetica" w:cs="Calibri"/>
                <w:sz w:val="22"/>
                <w:szCs w:val="22"/>
              </w:rPr>
              <w:t xml:space="preserve">, and who is not eligible for Professional membership </w:t>
            </w:r>
          </w:p>
          <w:p w:rsidR="00D33683" w:rsidRPr="00E35CFA" w:rsidRDefault="00D33683" w:rsidP="00D33683">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Helvetica" w:hAnsi="Helvetica" w:cs="Times"/>
                <w:sz w:val="22"/>
                <w:szCs w:val="22"/>
              </w:rPr>
            </w:pPr>
            <w:r w:rsidRPr="00E35CFA">
              <w:rPr>
                <w:rFonts w:ascii="Helvetica" w:hAnsi="Helvetica" w:cs="Calibri"/>
                <w:sz w:val="22"/>
                <w:szCs w:val="22"/>
              </w:rPr>
              <w:t xml:space="preserve">It is expected that students who qualify for Professional membership by level of experience or qualification should apply as such, not as student members. Submission of an applicant’s CV should attest to their eligibility for Student membership. </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3261" w:type="dxa"/>
            <w:tcBorders>
              <w:top w:val="none" w:sz="0" w:space="0" w:color="auto"/>
              <w:bottom w:val="none" w:sz="0" w:space="0" w:color="auto"/>
              <w:right w:val="none" w:sz="0" w:space="0" w:color="auto"/>
            </w:tcBorders>
          </w:tcPr>
          <w:p w:rsidR="00D33683" w:rsidRPr="00E35CFA" w:rsidRDefault="00E35CFA" w:rsidP="00D33683">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Helvetica" w:hAnsi="Helvetica" w:cs="Times"/>
                <w:sz w:val="22"/>
                <w:szCs w:val="22"/>
              </w:rPr>
            </w:pPr>
            <w:r>
              <w:rPr>
                <w:rFonts w:ascii="Helvetica" w:hAnsi="Helvetica" w:cs="Calibri"/>
                <w:sz w:val="22"/>
                <w:szCs w:val="22"/>
              </w:rPr>
              <w:t>More stringent.</w:t>
            </w:r>
            <w:r w:rsidR="00D33683" w:rsidRPr="00E35CFA">
              <w:rPr>
                <w:rFonts w:ascii="Helvetica" w:hAnsi="Helvetica" w:cs="Calibri"/>
                <w:sz w:val="22"/>
                <w:szCs w:val="22"/>
              </w:rPr>
              <w:t xml:space="preserve"> Individuals have to be enrolled in an eligible course and  must not be eligible for Professional membership </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D33683" w:rsidRPr="00E35CFA" w:rsidTr="00C826E7">
        <w:trPr>
          <w:cantSplit/>
        </w:trPr>
        <w:tc>
          <w:tcPr>
            <w:cnfStyle w:val="001000000000" w:firstRow="0" w:lastRow="0" w:firstColumn="1" w:lastColumn="0" w:oddVBand="0" w:evenVBand="0" w:oddHBand="0" w:evenHBand="0" w:firstRowFirstColumn="0" w:firstRowLastColumn="0" w:lastRowFirstColumn="0" w:lastRowLastColumn="0"/>
            <w:tcW w:w="1668" w:type="dxa"/>
          </w:tcPr>
          <w:p w:rsidR="00D33683" w:rsidRPr="00E35CFA" w:rsidRDefault="00D33683" w:rsidP="00D33683">
            <w:pPr>
              <w:rPr>
                <w:rFonts w:ascii="Helvetica" w:hAnsi="Helvetica"/>
                <w:sz w:val="22"/>
                <w:szCs w:val="22"/>
              </w:rPr>
            </w:pPr>
            <w:r w:rsidRPr="00E35CFA">
              <w:rPr>
                <w:rFonts w:ascii="Helvetica" w:hAnsi="Helvetica"/>
                <w:sz w:val="22"/>
                <w:szCs w:val="22"/>
              </w:rPr>
              <w:t>Associate (non-voting)</w:t>
            </w:r>
          </w:p>
        </w:tc>
        <w:tc>
          <w:tcPr>
            <w:tcW w:w="1370" w:type="dxa"/>
          </w:tcPr>
          <w:p w:rsidR="00D33683" w:rsidRPr="00E35CFA" w:rsidRDefault="00D33683" w:rsidP="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Equivalent to current Associate Member</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1134" w:type="dxa"/>
          </w:tcPr>
          <w:p w:rsidR="00D33683" w:rsidRPr="00E35CFA" w:rsidRDefault="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$105</w:t>
            </w:r>
          </w:p>
        </w:tc>
        <w:tc>
          <w:tcPr>
            <w:tcW w:w="2173" w:type="dxa"/>
          </w:tcPr>
          <w:p w:rsidR="00D33683" w:rsidRPr="00E35CFA" w:rsidRDefault="00D723D1" w:rsidP="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$135</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5103" w:type="dxa"/>
          </w:tcPr>
          <w:p w:rsidR="00D33683" w:rsidRPr="00E35CFA" w:rsidRDefault="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Anyone with an interest in editing and publishing, or A person whose work includes an element of editing, but who does not meet Professional criteria, including substantial, regular and ongoing editorial work</w:t>
            </w:r>
          </w:p>
        </w:tc>
        <w:tc>
          <w:tcPr>
            <w:tcW w:w="3261" w:type="dxa"/>
          </w:tcPr>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No change apart from fee increase</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D33683" w:rsidRPr="00E35CFA" w:rsidTr="00C826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tcBorders>
          </w:tcPr>
          <w:p w:rsidR="00D723D1" w:rsidRPr="00E35CFA" w:rsidRDefault="00D723D1" w:rsidP="00D723D1">
            <w:pPr>
              <w:rPr>
                <w:rFonts w:ascii="Helvetica" w:hAnsi="Helvetica"/>
                <w:sz w:val="22"/>
                <w:szCs w:val="22"/>
              </w:rPr>
            </w:pPr>
            <w:r w:rsidRPr="00E35CFA">
              <w:rPr>
                <w:rFonts w:ascii="Helvetica" w:hAnsi="Helvetica"/>
                <w:sz w:val="22"/>
                <w:szCs w:val="22"/>
              </w:rPr>
              <w:t>Professional (Voting member)</w:t>
            </w:r>
          </w:p>
          <w:p w:rsidR="00D33683" w:rsidRPr="00E35CFA" w:rsidRDefault="00D33683">
            <w:pPr>
              <w:rPr>
                <w:rFonts w:ascii="Helvetica" w:hAnsi="Helvetica"/>
                <w:sz w:val="22"/>
                <w:szCs w:val="22"/>
              </w:rPr>
            </w:pPr>
          </w:p>
        </w:tc>
        <w:tc>
          <w:tcPr>
            <w:tcW w:w="1370" w:type="dxa"/>
            <w:tcBorders>
              <w:top w:val="none" w:sz="0" w:space="0" w:color="auto"/>
              <w:bottom w:val="none" w:sz="0" w:space="0" w:color="auto"/>
            </w:tcBorders>
          </w:tcPr>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Equivalent to current Full Member</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1134" w:type="dxa"/>
            <w:tcBorders>
              <w:top w:val="none" w:sz="0" w:space="0" w:color="auto"/>
              <w:bottom w:val="none" w:sz="0" w:space="0" w:color="auto"/>
            </w:tcBorders>
          </w:tcPr>
          <w:p w:rsidR="00D33683" w:rsidRPr="00E35CFA" w:rsidRDefault="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$135</w:t>
            </w:r>
          </w:p>
        </w:tc>
        <w:tc>
          <w:tcPr>
            <w:tcW w:w="2173" w:type="dxa"/>
            <w:tcBorders>
              <w:top w:val="none" w:sz="0" w:space="0" w:color="auto"/>
              <w:bottom w:val="none" w:sz="0" w:space="0" w:color="auto"/>
            </w:tcBorders>
          </w:tcPr>
          <w:p w:rsidR="00D33683" w:rsidRPr="00E35CFA" w:rsidRDefault="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$180</w:t>
            </w:r>
          </w:p>
        </w:tc>
        <w:tc>
          <w:tcPr>
            <w:tcW w:w="5103" w:type="dxa"/>
            <w:tcBorders>
              <w:top w:val="none" w:sz="0" w:space="0" w:color="auto"/>
              <w:bottom w:val="none" w:sz="0" w:space="0" w:color="auto"/>
            </w:tcBorders>
          </w:tcPr>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roofErr w:type="spellStart"/>
            <w:r w:rsidRPr="00E35CFA">
              <w:rPr>
                <w:rFonts w:ascii="Helvetica" w:hAnsi="Helvetica"/>
                <w:sz w:val="22"/>
                <w:szCs w:val="22"/>
              </w:rPr>
              <w:t>IPEd</w:t>
            </w:r>
            <w:proofErr w:type="spellEnd"/>
            <w:r w:rsidRPr="00E35CFA">
              <w:rPr>
                <w:rFonts w:ascii="Helvetica" w:hAnsi="Helvetica"/>
                <w:sz w:val="22"/>
                <w:szCs w:val="22"/>
              </w:rPr>
              <w:t xml:space="preserve"> Accredited Editor, or</w:t>
            </w:r>
          </w:p>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An eligible qualification, and cumulative work experience equivalent to one year of full-time professional editing, and continuation of substantial and regular work as a professional editor, or</w:t>
            </w:r>
          </w:p>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Cumulative work experience equivalent to two years of full- time professional editing, and continuation of substantial and regular work as a professional editor</w:t>
            </w:r>
          </w:p>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Professional members have to pay separately to be on the</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3261" w:type="dxa"/>
            <w:tcBorders>
              <w:top w:val="none" w:sz="0" w:space="0" w:color="auto"/>
              <w:bottom w:val="none" w:sz="0" w:space="0" w:color="auto"/>
              <w:right w:val="none" w:sz="0" w:space="0" w:color="auto"/>
            </w:tcBorders>
          </w:tcPr>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More flexibility:</w:t>
            </w:r>
          </w:p>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Qualifications and accreditation are recognised as contributing to eligibility</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D33683" w:rsidRPr="00E35CFA" w:rsidTr="00C826E7">
        <w:trPr>
          <w:cantSplit/>
        </w:trPr>
        <w:tc>
          <w:tcPr>
            <w:cnfStyle w:val="001000000000" w:firstRow="0" w:lastRow="0" w:firstColumn="1" w:lastColumn="0" w:oddVBand="0" w:evenVBand="0" w:oddHBand="0" w:evenHBand="0" w:firstRowFirstColumn="0" w:firstRowLastColumn="0" w:lastRowFirstColumn="0" w:lastRowLastColumn="0"/>
            <w:tcW w:w="1668" w:type="dxa"/>
          </w:tcPr>
          <w:p w:rsidR="00D723D1" w:rsidRPr="00E35CFA" w:rsidRDefault="00D723D1" w:rsidP="00D723D1">
            <w:pPr>
              <w:rPr>
                <w:rFonts w:ascii="Helvetica" w:hAnsi="Helvetica"/>
                <w:sz w:val="22"/>
                <w:szCs w:val="22"/>
              </w:rPr>
            </w:pPr>
            <w:r w:rsidRPr="00E35CFA">
              <w:rPr>
                <w:rFonts w:ascii="Helvetica" w:hAnsi="Helvetica"/>
                <w:sz w:val="22"/>
                <w:szCs w:val="22"/>
              </w:rPr>
              <w:lastRenderedPageBreak/>
              <w:t>Honorary Life (Voting member)</w:t>
            </w:r>
          </w:p>
          <w:p w:rsidR="00D33683" w:rsidRPr="00E35CFA" w:rsidRDefault="00D33683">
            <w:pPr>
              <w:rPr>
                <w:rFonts w:ascii="Helvetica" w:hAnsi="Helvetica"/>
                <w:sz w:val="22"/>
                <w:szCs w:val="22"/>
              </w:rPr>
            </w:pPr>
          </w:p>
        </w:tc>
        <w:tc>
          <w:tcPr>
            <w:tcW w:w="1370" w:type="dxa"/>
          </w:tcPr>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1134" w:type="dxa"/>
          </w:tcPr>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2173" w:type="dxa"/>
          </w:tcPr>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Nil</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5103" w:type="dxa"/>
          </w:tcPr>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Members who have made significant contributions to their branch, to </w:t>
            </w:r>
            <w:proofErr w:type="spellStart"/>
            <w:r w:rsidRPr="00E35CFA">
              <w:rPr>
                <w:rFonts w:ascii="Helvetica" w:hAnsi="Helvetica"/>
                <w:sz w:val="22"/>
                <w:szCs w:val="22"/>
              </w:rPr>
              <w:t>IPEd</w:t>
            </w:r>
            <w:proofErr w:type="spellEnd"/>
            <w:r w:rsidRPr="00E35CFA">
              <w:rPr>
                <w:rFonts w:ascii="Helvetica" w:hAnsi="Helvetica"/>
                <w:sz w:val="22"/>
                <w:szCs w:val="22"/>
              </w:rPr>
              <w:t xml:space="preserve"> or the editing profession, nominated by two Voting members and endorsed by 75% of members present at any branch general meeting and endorsed by </w:t>
            </w:r>
            <w:proofErr w:type="spellStart"/>
            <w:r w:rsidRPr="00E35CFA">
              <w:rPr>
                <w:rFonts w:ascii="Helvetica" w:hAnsi="Helvetica"/>
                <w:sz w:val="22"/>
                <w:szCs w:val="22"/>
              </w:rPr>
              <w:t>IPEd</w:t>
            </w:r>
            <w:proofErr w:type="spellEnd"/>
            <w:r w:rsidRPr="00E35CFA">
              <w:rPr>
                <w:rFonts w:ascii="Helvetica" w:hAnsi="Helvetica"/>
                <w:sz w:val="22"/>
                <w:szCs w:val="22"/>
              </w:rPr>
              <w:t xml:space="preserve"> Council, or nominated by </w:t>
            </w:r>
            <w:proofErr w:type="spellStart"/>
            <w:r w:rsidRPr="00E35CFA">
              <w:rPr>
                <w:rFonts w:ascii="Helvetica" w:hAnsi="Helvetica"/>
                <w:sz w:val="22"/>
                <w:szCs w:val="22"/>
              </w:rPr>
              <w:t>IPEd</w:t>
            </w:r>
            <w:proofErr w:type="spellEnd"/>
            <w:r w:rsidRPr="00E35CFA">
              <w:rPr>
                <w:rFonts w:ascii="Helvetica" w:hAnsi="Helvetica"/>
                <w:sz w:val="22"/>
                <w:szCs w:val="22"/>
              </w:rPr>
              <w:t xml:space="preserve"> Council and endorsed by that member’s branch</w:t>
            </w:r>
          </w:p>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Must be endorsed by 75% of members present rather than just a majority</w:t>
            </w:r>
          </w:p>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Must be ratified by IPED Council</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3261" w:type="dxa"/>
          </w:tcPr>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IPED Council can nominate HLMs, with endorsement of Branch.</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D33683" w:rsidRPr="00E35CFA" w:rsidTr="00C826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tcBorders>
          </w:tcPr>
          <w:p w:rsidR="00D723D1" w:rsidRPr="00E35CFA" w:rsidRDefault="00D723D1" w:rsidP="00D723D1">
            <w:pPr>
              <w:rPr>
                <w:rFonts w:ascii="Helvetica" w:hAnsi="Helvetica"/>
                <w:sz w:val="22"/>
                <w:szCs w:val="22"/>
              </w:rPr>
            </w:pPr>
            <w:r w:rsidRPr="00E35CFA">
              <w:rPr>
                <w:rFonts w:ascii="Helvetica" w:hAnsi="Helvetica"/>
                <w:sz w:val="22"/>
                <w:szCs w:val="22"/>
              </w:rPr>
              <w:t>Non-voting</w:t>
            </w:r>
          </w:p>
          <w:p w:rsidR="00D33683" w:rsidRPr="00E35CFA" w:rsidRDefault="00D33683">
            <w:pPr>
              <w:rPr>
                <w:rFonts w:ascii="Helvetica" w:hAnsi="Helvetica"/>
                <w:sz w:val="22"/>
                <w:szCs w:val="22"/>
              </w:rPr>
            </w:pPr>
          </w:p>
        </w:tc>
        <w:tc>
          <w:tcPr>
            <w:tcW w:w="1370" w:type="dxa"/>
            <w:tcBorders>
              <w:top w:val="none" w:sz="0" w:space="0" w:color="auto"/>
              <w:bottom w:val="none" w:sz="0" w:space="0" w:color="auto"/>
            </w:tcBorders>
          </w:tcPr>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Corporate</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1134" w:type="dxa"/>
            <w:tcBorders>
              <w:top w:val="none" w:sz="0" w:space="0" w:color="auto"/>
              <w:bottom w:val="none" w:sz="0" w:space="0" w:color="auto"/>
            </w:tcBorders>
          </w:tcPr>
          <w:p w:rsidR="00D33683" w:rsidRPr="00E35CFA" w:rsidRDefault="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$270</w:t>
            </w:r>
          </w:p>
        </w:tc>
        <w:tc>
          <w:tcPr>
            <w:tcW w:w="2173" w:type="dxa"/>
            <w:tcBorders>
              <w:top w:val="none" w:sz="0" w:space="0" w:color="auto"/>
              <w:bottom w:val="none" w:sz="0" w:space="0" w:color="auto"/>
            </w:tcBorders>
          </w:tcPr>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2-3 editorial staff $360 </w:t>
            </w:r>
          </w:p>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4-6 editorial staff $720 </w:t>
            </w:r>
          </w:p>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7-10 editorial staff $1260</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5103" w:type="dxa"/>
            <w:tcBorders>
              <w:top w:val="none" w:sz="0" w:space="0" w:color="auto"/>
              <w:bottom w:val="none" w:sz="0" w:space="0" w:color="auto"/>
            </w:tcBorders>
          </w:tcPr>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Publishing companies and other businesses and organisations that support the aims of </w:t>
            </w:r>
            <w:proofErr w:type="spellStart"/>
            <w:r w:rsidRPr="00E35CFA">
              <w:rPr>
                <w:rFonts w:ascii="Helvetica" w:hAnsi="Helvetica"/>
                <w:sz w:val="22"/>
                <w:szCs w:val="22"/>
              </w:rPr>
              <w:t>IPEd</w:t>
            </w:r>
            <w:proofErr w:type="spellEnd"/>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3261" w:type="dxa"/>
            <w:tcBorders>
              <w:top w:val="none" w:sz="0" w:space="0" w:color="auto"/>
              <w:bottom w:val="none" w:sz="0" w:space="0" w:color="auto"/>
              <w:right w:val="none" w:sz="0" w:space="0" w:color="auto"/>
            </w:tcBorders>
          </w:tcPr>
          <w:p w:rsidR="00D723D1" w:rsidRPr="00E35CFA" w:rsidRDefault="00D723D1"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More categories reflecting number of editorial staff.</w:t>
            </w:r>
          </w:p>
          <w:p w:rsidR="00D33683" w:rsidRPr="00E35CFA" w:rsidRDefault="00D33683">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D33683" w:rsidRPr="00E35CFA" w:rsidTr="00C826E7">
        <w:trPr>
          <w:cantSplit/>
        </w:trPr>
        <w:tc>
          <w:tcPr>
            <w:cnfStyle w:val="001000000000" w:firstRow="0" w:lastRow="0" w:firstColumn="1" w:lastColumn="0" w:oddVBand="0" w:evenVBand="0" w:oddHBand="0" w:evenHBand="0" w:firstRowFirstColumn="0" w:firstRowLastColumn="0" w:lastRowFirstColumn="0" w:lastRowLastColumn="0"/>
            <w:tcW w:w="1668" w:type="dxa"/>
          </w:tcPr>
          <w:p w:rsidR="00D723D1" w:rsidRPr="00E35CFA" w:rsidRDefault="00D723D1" w:rsidP="00D723D1">
            <w:pPr>
              <w:rPr>
                <w:rFonts w:ascii="Helvetica" w:hAnsi="Helvetica"/>
                <w:sz w:val="22"/>
                <w:szCs w:val="22"/>
              </w:rPr>
            </w:pPr>
            <w:r w:rsidRPr="00E35CFA">
              <w:rPr>
                <w:rFonts w:ascii="Helvetica" w:hAnsi="Helvetica"/>
                <w:sz w:val="22"/>
                <w:szCs w:val="22"/>
              </w:rPr>
              <w:t>Senior Professional (Voting</w:t>
            </w:r>
            <w:r w:rsidR="00E35CFA" w:rsidRPr="00E35CFA">
              <w:rPr>
                <w:rFonts w:ascii="Helvetica" w:hAnsi="Helvetica"/>
                <w:sz w:val="22"/>
                <w:szCs w:val="22"/>
              </w:rPr>
              <w:t xml:space="preserve"> member</w:t>
            </w:r>
            <w:r w:rsidRPr="00E35CFA">
              <w:rPr>
                <w:rFonts w:ascii="Helvetica" w:hAnsi="Helvetica"/>
                <w:sz w:val="22"/>
                <w:szCs w:val="22"/>
              </w:rPr>
              <w:t>)</w:t>
            </w:r>
          </w:p>
          <w:p w:rsidR="00D33683" w:rsidRPr="00E35CFA" w:rsidRDefault="00D33683">
            <w:pPr>
              <w:rPr>
                <w:rFonts w:ascii="Helvetica" w:hAnsi="Helvetica"/>
                <w:sz w:val="22"/>
                <w:szCs w:val="22"/>
              </w:rPr>
            </w:pPr>
          </w:p>
        </w:tc>
        <w:tc>
          <w:tcPr>
            <w:tcW w:w="1370" w:type="dxa"/>
          </w:tcPr>
          <w:p w:rsidR="00D33683" w:rsidRPr="00E35CFA" w:rsidRDefault="00D723D1">
            <w:pPr>
              <w:cnfStyle w:val="000000000000" w:firstRow="0" w:lastRow="0" w:firstColumn="0" w:lastColumn="0" w:oddVBand="0" w:evenVBand="0" w:oddHBand="0" w:evenHBand="0" w:firstRowFirstColumn="0" w:firstRowLastColumn="0" w:lastRowFirstColumn="0" w:lastRowLastColumn="0"/>
              <w:rPr>
                <w:rFonts w:ascii="Helvetica" w:hAnsi="Helvetica"/>
                <w:i/>
                <w:sz w:val="22"/>
                <w:szCs w:val="22"/>
              </w:rPr>
            </w:pPr>
            <w:r w:rsidRPr="00E35CFA">
              <w:rPr>
                <w:rFonts w:ascii="Helvetica" w:hAnsi="Helvetica"/>
                <w:i/>
                <w:sz w:val="22"/>
                <w:szCs w:val="22"/>
              </w:rPr>
              <w:t>Possible future category</w:t>
            </w:r>
          </w:p>
        </w:tc>
        <w:tc>
          <w:tcPr>
            <w:tcW w:w="1134" w:type="dxa"/>
          </w:tcPr>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2173" w:type="dxa"/>
          </w:tcPr>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5103" w:type="dxa"/>
          </w:tcPr>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￼Criteria proposed include 10 years of experience plus 5 years of branch (or society) membership (or of an equivalent overseas professional association).</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3261" w:type="dxa"/>
          </w:tcPr>
          <w:p w:rsidR="00D723D1" w:rsidRPr="00E35CFA" w:rsidRDefault="00D723D1"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New category (if it happens)</w:t>
            </w:r>
          </w:p>
          <w:p w:rsidR="00D33683" w:rsidRPr="00E35CFA" w:rsidRDefault="00D33683">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bl>
    <w:p w:rsidR="00D723D1" w:rsidRDefault="00D723D1" w:rsidP="00D723D1">
      <w:pPr>
        <w:rPr>
          <w:rFonts w:ascii="Helvetica" w:hAnsi="Helvetica"/>
          <w:sz w:val="22"/>
          <w:szCs w:val="22"/>
        </w:rPr>
      </w:pPr>
      <w:r w:rsidRPr="00D723D1">
        <w:rPr>
          <w:rFonts w:ascii="Helvetica" w:hAnsi="Helvetica"/>
          <w:sz w:val="22"/>
          <w:szCs w:val="22"/>
        </w:rPr>
        <w:t>￼</w:t>
      </w:r>
    </w:p>
    <w:p w:rsidR="00D723D1" w:rsidRDefault="00D723D1">
      <w:pPr>
        <w:rPr>
          <w:rFonts w:ascii="Helvetica" w:hAnsi="Helvetica"/>
          <w:sz w:val="22"/>
          <w:szCs w:val="22"/>
        </w:rPr>
      </w:pPr>
      <w:r>
        <w:rPr>
          <w:rFonts w:ascii="Helvetica" w:hAnsi="Helvetica"/>
          <w:sz w:val="22"/>
          <w:szCs w:val="22"/>
        </w:rPr>
        <w:br w:type="page"/>
      </w:r>
    </w:p>
    <w:p w:rsidR="00D723D1" w:rsidRPr="00D723D1" w:rsidRDefault="00D723D1" w:rsidP="00D723D1">
      <w:pPr>
        <w:rPr>
          <w:rFonts w:ascii="Helvetica" w:hAnsi="Helvetica"/>
          <w:sz w:val="22"/>
          <w:szCs w:val="22"/>
        </w:rPr>
      </w:pPr>
    </w:p>
    <w:p w:rsidR="00D33683" w:rsidRDefault="00D723D1" w:rsidP="00D723D1">
      <w:pPr>
        <w:pStyle w:val="Heading2"/>
      </w:pPr>
      <w:r>
        <w:t>Other Issues</w:t>
      </w:r>
    </w:p>
    <w:tbl>
      <w:tblPr>
        <w:tblStyle w:val="LightList-Accent5"/>
        <w:tblW w:w="0" w:type="auto"/>
        <w:tblBorders>
          <w:insideH w:val="single" w:sz="8" w:space="0" w:color="4BACC6" w:themeColor="accent5"/>
          <w:insideV w:val="single" w:sz="8" w:space="0" w:color="4BACC6" w:themeColor="accent5"/>
        </w:tblBorders>
        <w:tblLook w:val="04A0" w:firstRow="1" w:lastRow="0" w:firstColumn="1" w:lastColumn="0" w:noHBand="0" w:noVBand="1"/>
      </w:tblPr>
      <w:tblGrid>
        <w:gridCol w:w="3085"/>
        <w:gridCol w:w="6659"/>
        <w:gridCol w:w="4872"/>
      </w:tblGrid>
      <w:tr w:rsidR="00E35CFA" w:rsidRPr="00E35CFA" w:rsidTr="00C826E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tcPr>
          <w:p w:rsidR="00E35CFA" w:rsidRPr="00E35CFA" w:rsidRDefault="00E35CFA" w:rsidP="00D723D1">
            <w:pPr>
              <w:rPr>
                <w:rFonts w:ascii="Helvetica" w:hAnsi="Helvetica"/>
                <w:sz w:val="22"/>
                <w:szCs w:val="22"/>
              </w:rPr>
            </w:pPr>
            <w:r w:rsidRPr="00E35CFA">
              <w:rPr>
                <w:rFonts w:ascii="Helvetica" w:hAnsi="Helvetica"/>
                <w:sz w:val="22"/>
                <w:szCs w:val="22"/>
              </w:rPr>
              <w:t>Issue</w:t>
            </w:r>
          </w:p>
        </w:tc>
        <w:tc>
          <w:tcPr>
            <w:tcW w:w="6659" w:type="dxa"/>
          </w:tcPr>
          <w:p w:rsidR="00E35CFA" w:rsidRPr="00E35CFA" w:rsidRDefault="00E35CFA" w:rsidP="00D723D1">
            <w:pPr>
              <w:cnfStyle w:val="100000000000" w:firstRow="1"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Description</w:t>
            </w:r>
          </w:p>
        </w:tc>
        <w:tc>
          <w:tcPr>
            <w:tcW w:w="4872" w:type="dxa"/>
          </w:tcPr>
          <w:p w:rsidR="00E35CFA" w:rsidRPr="00E35CFA" w:rsidRDefault="00E35CFA" w:rsidP="00D723D1">
            <w:pPr>
              <w:cnfStyle w:val="100000000000" w:firstRow="1"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What’s Different?</w:t>
            </w:r>
          </w:p>
        </w:tc>
      </w:tr>
      <w:tr w:rsidR="00E35CFA" w:rsidRPr="00E35CFA" w:rsidTr="00C826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tcBorders>
              <w:top w:val="none" w:sz="0" w:space="0" w:color="auto"/>
              <w:left w:val="none" w:sz="0" w:space="0" w:color="auto"/>
              <w:bottom w:val="none" w:sz="0" w:space="0" w:color="auto"/>
            </w:tcBorders>
          </w:tcPr>
          <w:p w:rsidR="00E35CFA" w:rsidRPr="00E35CFA" w:rsidRDefault="00E35CFA" w:rsidP="00E35CFA">
            <w:pPr>
              <w:rPr>
                <w:rFonts w:ascii="Helvetica" w:hAnsi="Helvetica"/>
                <w:sz w:val="22"/>
                <w:szCs w:val="22"/>
              </w:rPr>
            </w:pPr>
            <w:r w:rsidRPr="00E35CFA">
              <w:rPr>
                <w:rFonts w:ascii="Helvetica" w:hAnsi="Helvetica"/>
                <w:sz w:val="22"/>
                <w:szCs w:val="22"/>
              </w:rPr>
              <w:t>Concessions</w:t>
            </w:r>
          </w:p>
          <w:p w:rsidR="00E35CFA" w:rsidRPr="00E35CFA" w:rsidRDefault="00E35CFA" w:rsidP="00D723D1">
            <w:pPr>
              <w:rPr>
                <w:rFonts w:ascii="Helvetica" w:hAnsi="Helvetica"/>
                <w:sz w:val="22"/>
                <w:szCs w:val="22"/>
              </w:rPr>
            </w:pPr>
          </w:p>
        </w:tc>
        <w:tc>
          <w:tcPr>
            <w:tcW w:w="6659" w:type="dxa"/>
            <w:tcBorders>
              <w:top w:val="none" w:sz="0" w:space="0" w:color="auto"/>
              <w:bottom w:val="none" w:sz="0" w:space="0" w:color="auto"/>
            </w:tcBorders>
          </w:tcPr>
          <w:p w:rsidR="00C826E7"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Retired or temporary leave (&gt; 6 months) $85 </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Concession-card holders $65</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Hardship $65</w:t>
            </w:r>
          </w:p>
          <w:p w:rsidR="00E35CFA" w:rsidRPr="00E35CFA" w:rsidRDefault="00E35CFA"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4872" w:type="dxa"/>
            <w:tcBorders>
              <w:top w:val="none" w:sz="0" w:space="0" w:color="auto"/>
              <w:bottom w:val="none" w:sz="0" w:space="0" w:color="auto"/>
              <w:right w:val="none" w:sz="0" w:space="0" w:color="auto"/>
            </w:tcBorders>
          </w:tcPr>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New, more flexible</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Currently CSE member can ask for dispensation to pay quarterly.</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E35CFA" w:rsidRPr="00E35CFA" w:rsidTr="00C826E7">
        <w:trPr>
          <w:cantSplit/>
        </w:trPr>
        <w:tc>
          <w:tcPr>
            <w:cnfStyle w:val="001000000000" w:firstRow="0" w:lastRow="0" w:firstColumn="1" w:lastColumn="0" w:oddVBand="0" w:evenVBand="0" w:oddHBand="0" w:evenHBand="0" w:firstRowFirstColumn="0" w:firstRowLastColumn="0" w:lastRowFirstColumn="0" w:lastRowLastColumn="0"/>
            <w:tcW w:w="3085" w:type="dxa"/>
          </w:tcPr>
          <w:p w:rsidR="00E35CFA" w:rsidRPr="00E35CFA" w:rsidRDefault="00E35CFA" w:rsidP="00E35CFA">
            <w:pPr>
              <w:rPr>
                <w:rFonts w:ascii="Helvetica" w:hAnsi="Helvetica"/>
                <w:sz w:val="22"/>
                <w:szCs w:val="22"/>
              </w:rPr>
            </w:pPr>
            <w:r w:rsidRPr="00E35CFA">
              <w:rPr>
                <w:rFonts w:ascii="Helvetica" w:hAnsi="Helvetica"/>
                <w:sz w:val="22"/>
                <w:szCs w:val="22"/>
              </w:rPr>
              <w:t>Payments</w:t>
            </w:r>
          </w:p>
          <w:p w:rsidR="00E35CFA" w:rsidRPr="00E35CFA" w:rsidRDefault="00E35CFA" w:rsidP="00D723D1">
            <w:pPr>
              <w:rPr>
                <w:rFonts w:ascii="Helvetica" w:hAnsi="Helvetica"/>
                <w:sz w:val="22"/>
                <w:szCs w:val="22"/>
              </w:rPr>
            </w:pPr>
          </w:p>
        </w:tc>
        <w:tc>
          <w:tcPr>
            <w:tcW w:w="6659" w:type="dxa"/>
          </w:tcPr>
          <w:p w:rsidR="00E35CFA" w:rsidRPr="00E35CFA" w:rsidRDefault="00E35CFA" w:rsidP="00E35CFA">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Payment of fees is required annually but may be allowed in quarterly instalments, payable by direct debit only, if requested by a member.</w:t>
            </w:r>
          </w:p>
          <w:p w:rsidR="00E35CFA" w:rsidRPr="00E35CFA" w:rsidRDefault="00E35CFA"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4872" w:type="dxa"/>
          </w:tcPr>
          <w:p w:rsidR="00E35CFA" w:rsidRPr="00E35CFA" w:rsidRDefault="00E35CFA" w:rsidP="00E35CFA">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More flexible</w:t>
            </w:r>
          </w:p>
          <w:p w:rsidR="00E35CFA" w:rsidRPr="00E35CFA" w:rsidRDefault="00E35CFA"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E35CFA" w:rsidRPr="00E35CFA" w:rsidTr="00C826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tcBorders>
              <w:top w:val="none" w:sz="0" w:space="0" w:color="auto"/>
              <w:left w:val="none" w:sz="0" w:space="0" w:color="auto"/>
              <w:bottom w:val="none" w:sz="0" w:space="0" w:color="auto"/>
            </w:tcBorders>
          </w:tcPr>
          <w:p w:rsidR="00E35CFA" w:rsidRPr="00E35CFA" w:rsidRDefault="00E35CFA" w:rsidP="00E35CFA">
            <w:pPr>
              <w:rPr>
                <w:rFonts w:ascii="Helvetica" w:hAnsi="Helvetica"/>
                <w:sz w:val="22"/>
                <w:szCs w:val="22"/>
              </w:rPr>
            </w:pPr>
            <w:r w:rsidRPr="00E35CFA">
              <w:rPr>
                <w:rFonts w:ascii="Helvetica" w:hAnsi="Helvetica"/>
                <w:sz w:val="22"/>
                <w:szCs w:val="22"/>
              </w:rPr>
              <w:t>Joining fee</w:t>
            </w:r>
          </w:p>
          <w:p w:rsidR="00E35CFA" w:rsidRPr="00E35CFA" w:rsidRDefault="00E35CFA" w:rsidP="00D723D1">
            <w:pPr>
              <w:rPr>
                <w:rFonts w:ascii="Helvetica" w:hAnsi="Helvetica"/>
                <w:sz w:val="22"/>
                <w:szCs w:val="22"/>
              </w:rPr>
            </w:pPr>
          </w:p>
        </w:tc>
        <w:tc>
          <w:tcPr>
            <w:tcW w:w="6659" w:type="dxa"/>
            <w:tcBorders>
              <w:top w:val="none" w:sz="0" w:space="0" w:color="auto"/>
              <w:bottom w:val="none" w:sz="0" w:space="0" w:color="auto"/>
            </w:tcBorders>
          </w:tcPr>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New members, lapsed members applying to re</w:t>
            </w:r>
            <w:r w:rsidR="00C826E7">
              <w:rPr>
                <w:rFonts w:ascii="Helvetica" w:hAnsi="Helvetica"/>
                <w:sz w:val="22"/>
                <w:szCs w:val="22"/>
              </w:rPr>
              <w:t>-</w:t>
            </w:r>
            <w:r w:rsidRPr="00E35CFA">
              <w:rPr>
                <w:rFonts w:ascii="Helvetica" w:hAnsi="Helvetica"/>
                <w:sz w:val="22"/>
                <w:szCs w:val="22"/>
              </w:rPr>
              <w:t>join after 12 months and those applying to change membership to a higher category (except for students applying for Associate membership) are required to pay an administration fee of $30. The fee will not be applied to members seeking retired or temporary leave subscriptions, concessions or hardship rate</w:t>
            </w:r>
          </w:p>
          <w:p w:rsidR="00E35CFA" w:rsidRPr="00E35CFA" w:rsidRDefault="00E35CFA"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4872" w:type="dxa"/>
            <w:tcBorders>
              <w:top w:val="none" w:sz="0" w:space="0" w:color="auto"/>
              <w:bottom w:val="none" w:sz="0" w:space="0" w:color="auto"/>
              <w:right w:val="none" w:sz="0" w:space="0" w:color="auto"/>
            </w:tcBorders>
          </w:tcPr>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New</w:t>
            </w:r>
          </w:p>
          <w:p w:rsidR="00E35CFA" w:rsidRPr="00E35CFA" w:rsidRDefault="00E35CFA" w:rsidP="00D723D1">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E35CFA" w:rsidRPr="00E35CFA" w:rsidTr="00C826E7">
        <w:trPr>
          <w:cantSplit/>
        </w:trPr>
        <w:tc>
          <w:tcPr>
            <w:cnfStyle w:val="001000000000" w:firstRow="0" w:lastRow="0" w:firstColumn="1" w:lastColumn="0" w:oddVBand="0" w:evenVBand="0" w:oddHBand="0" w:evenHBand="0" w:firstRowFirstColumn="0" w:firstRowLastColumn="0" w:lastRowFirstColumn="0" w:lastRowLastColumn="0"/>
            <w:tcW w:w="3085" w:type="dxa"/>
          </w:tcPr>
          <w:p w:rsidR="00E35CFA" w:rsidRPr="00E35CFA" w:rsidRDefault="00E35CFA" w:rsidP="00E35CFA">
            <w:pPr>
              <w:rPr>
                <w:rFonts w:ascii="Helvetica" w:hAnsi="Helvetica"/>
                <w:sz w:val="22"/>
                <w:szCs w:val="22"/>
              </w:rPr>
            </w:pPr>
            <w:r w:rsidRPr="00E35CFA">
              <w:rPr>
                <w:rFonts w:ascii="Helvetica" w:hAnsi="Helvetica"/>
                <w:sz w:val="22"/>
                <w:szCs w:val="22"/>
              </w:rPr>
              <w:t>Editorial services directory</w:t>
            </w:r>
          </w:p>
          <w:p w:rsidR="00E35CFA" w:rsidRPr="00E35CFA" w:rsidRDefault="00E35CFA" w:rsidP="00D723D1">
            <w:pPr>
              <w:rPr>
                <w:rFonts w:ascii="Helvetica" w:hAnsi="Helvetica"/>
                <w:sz w:val="22"/>
                <w:szCs w:val="22"/>
              </w:rPr>
            </w:pPr>
          </w:p>
        </w:tc>
        <w:tc>
          <w:tcPr>
            <w:tcW w:w="6659" w:type="dxa"/>
          </w:tcPr>
          <w:p w:rsidR="00E35CFA" w:rsidRPr="00E35CFA" w:rsidRDefault="00E35CFA" w:rsidP="00E35CFA">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All voting members are eligible to subscribe for an entry in the Editorial Services Directory for an annual fee of $40.</w:t>
            </w:r>
          </w:p>
          <w:p w:rsidR="00E35CFA" w:rsidRPr="00E35CFA" w:rsidRDefault="00E35CFA"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4872" w:type="dxa"/>
          </w:tcPr>
          <w:p w:rsidR="00E35CFA" w:rsidRPr="00E35CFA" w:rsidRDefault="00E35CFA" w:rsidP="00E35CFA">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Extra fee – not covered in membership fee (as is the case in most of the current Societies)</w:t>
            </w:r>
          </w:p>
          <w:p w:rsidR="00E35CFA" w:rsidRPr="00E35CFA" w:rsidRDefault="00E35CFA" w:rsidP="00D723D1">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E35CFA" w:rsidRPr="00E35CFA" w:rsidTr="00C826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tcPr>
          <w:p w:rsidR="00E35CFA" w:rsidRPr="00E35CFA" w:rsidRDefault="00E35CFA" w:rsidP="00E35CFA">
            <w:pPr>
              <w:rPr>
                <w:rFonts w:ascii="Helvetica" w:hAnsi="Helvetica"/>
                <w:sz w:val="22"/>
                <w:szCs w:val="22"/>
              </w:rPr>
            </w:pPr>
            <w:r w:rsidRPr="00E35CFA">
              <w:rPr>
                <w:rFonts w:ascii="Helvetica" w:hAnsi="Helvetica"/>
                <w:sz w:val="22"/>
                <w:szCs w:val="22"/>
              </w:rPr>
              <w:t>Branch membership</w:t>
            </w:r>
          </w:p>
          <w:p w:rsidR="00E35CFA" w:rsidRPr="00E35CFA" w:rsidRDefault="00E35CFA" w:rsidP="00E35CFA">
            <w:pPr>
              <w:rPr>
                <w:rFonts w:ascii="Helvetica" w:hAnsi="Helvetica"/>
                <w:sz w:val="22"/>
                <w:szCs w:val="22"/>
              </w:rPr>
            </w:pPr>
          </w:p>
        </w:tc>
        <w:tc>
          <w:tcPr>
            <w:tcW w:w="6659" w:type="dxa"/>
          </w:tcPr>
          <w:p w:rsidR="00E35CFA" w:rsidRPr="00E35CFA" w:rsidRDefault="00C826E7"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roofErr w:type="spellStart"/>
            <w:r>
              <w:rPr>
                <w:rFonts w:ascii="Helvetica" w:hAnsi="Helvetica"/>
                <w:sz w:val="22"/>
                <w:szCs w:val="22"/>
              </w:rPr>
              <w:t>IPEd</w:t>
            </w:r>
            <w:proofErr w:type="spellEnd"/>
            <w:r>
              <w:rPr>
                <w:rFonts w:ascii="Helvetica" w:hAnsi="Helvetica"/>
                <w:sz w:val="22"/>
                <w:szCs w:val="22"/>
              </w:rPr>
              <w:t xml:space="preserve"> </w:t>
            </w:r>
            <w:r w:rsidR="00E35CFA" w:rsidRPr="00E35CFA">
              <w:rPr>
                <w:rFonts w:ascii="Helvetica" w:hAnsi="Helvetica"/>
                <w:sz w:val="22"/>
                <w:szCs w:val="22"/>
              </w:rPr>
              <w:t xml:space="preserve">Members can only </w:t>
            </w:r>
            <w:r>
              <w:rPr>
                <w:rFonts w:ascii="Helvetica" w:hAnsi="Helvetica"/>
                <w:sz w:val="22"/>
                <w:szCs w:val="22"/>
              </w:rPr>
              <w:t>belong to</w:t>
            </w:r>
            <w:r w:rsidR="00E35CFA" w:rsidRPr="00E35CFA">
              <w:rPr>
                <w:rFonts w:ascii="Helvetica" w:hAnsi="Helvetica"/>
                <w:sz w:val="22"/>
                <w:szCs w:val="22"/>
              </w:rPr>
              <w:t xml:space="preserve"> one Branch</w:t>
            </w:r>
            <w:r>
              <w:rPr>
                <w:rFonts w:ascii="Helvetica" w:hAnsi="Helvetica"/>
                <w:sz w:val="22"/>
                <w:szCs w:val="22"/>
              </w:rPr>
              <w:t xml:space="preserve"> at a time</w:t>
            </w:r>
            <w:r w:rsidR="00E35CFA" w:rsidRPr="00E35CFA">
              <w:rPr>
                <w:rFonts w:ascii="Helvetica" w:hAnsi="Helvetica"/>
                <w:sz w:val="22"/>
                <w:szCs w:val="22"/>
              </w:rPr>
              <w:t>.</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Membership of any one branch will give reciprocal rights from any other branch, or sub-branch, including member discounts for professional development</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4872" w:type="dxa"/>
          </w:tcPr>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No provision to be a member of more than one </w:t>
            </w:r>
            <w:r w:rsidR="00C826E7">
              <w:rPr>
                <w:rFonts w:ascii="Helvetica" w:hAnsi="Helvetica"/>
                <w:sz w:val="22"/>
                <w:szCs w:val="22"/>
              </w:rPr>
              <w:t>Branch</w:t>
            </w:r>
            <w:r w:rsidRPr="00E35CFA">
              <w:rPr>
                <w:rFonts w:ascii="Helvetica" w:hAnsi="Helvetica"/>
                <w:sz w:val="22"/>
                <w:szCs w:val="22"/>
              </w:rPr>
              <w:t xml:space="preserve"> as at present.</w:t>
            </w:r>
          </w:p>
          <w:p w:rsidR="00C826E7" w:rsidRPr="00E35CFA" w:rsidRDefault="00C826E7" w:rsidP="00C826E7">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Reciprocal arrangements the same but formalised.</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E35CFA" w:rsidRPr="00E35CFA" w:rsidTr="00C826E7">
        <w:trPr>
          <w:cantSplit/>
        </w:trPr>
        <w:tc>
          <w:tcPr>
            <w:cnfStyle w:val="001000000000" w:firstRow="0" w:lastRow="0" w:firstColumn="1" w:lastColumn="0" w:oddVBand="0" w:evenVBand="0" w:oddHBand="0" w:evenHBand="0" w:firstRowFirstColumn="0" w:firstRowLastColumn="0" w:lastRowFirstColumn="0" w:lastRowLastColumn="0"/>
            <w:tcW w:w="3085" w:type="dxa"/>
          </w:tcPr>
          <w:p w:rsidR="00C826E7" w:rsidRPr="00E35CFA" w:rsidRDefault="00C826E7" w:rsidP="00C826E7">
            <w:pPr>
              <w:rPr>
                <w:rFonts w:ascii="Helvetica" w:hAnsi="Helvetica"/>
                <w:sz w:val="22"/>
                <w:szCs w:val="22"/>
              </w:rPr>
            </w:pPr>
            <w:r w:rsidRPr="00E35CFA">
              <w:rPr>
                <w:rFonts w:ascii="Helvetica" w:hAnsi="Helvetica"/>
                <w:sz w:val="22"/>
                <w:szCs w:val="22"/>
              </w:rPr>
              <w:t>Lapsed members</w:t>
            </w:r>
          </w:p>
          <w:p w:rsidR="00E35CFA" w:rsidRPr="00E35CFA" w:rsidRDefault="00E35CFA" w:rsidP="00E35CFA">
            <w:pPr>
              <w:rPr>
                <w:rFonts w:ascii="Helvetica" w:hAnsi="Helvetica"/>
                <w:sz w:val="22"/>
                <w:szCs w:val="22"/>
              </w:rPr>
            </w:pPr>
          </w:p>
        </w:tc>
        <w:tc>
          <w:tcPr>
            <w:tcW w:w="6659" w:type="dxa"/>
          </w:tcPr>
          <w:p w:rsidR="00C826E7" w:rsidRPr="00E35CFA"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Membership renewal is due on the anniversary of joining and is considered </w:t>
            </w:r>
            <w:r>
              <w:rPr>
                <w:rFonts w:ascii="Helvetica" w:hAnsi="Helvetica"/>
                <w:sz w:val="22"/>
                <w:szCs w:val="22"/>
              </w:rPr>
              <w:t>to be a non-financial member</w:t>
            </w:r>
            <w:r w:rsidRPr="00E35CFA">
              <w:rPr>
                <w:rFonts w:ascii="Helvetica" w:hAnsi="Helvetica"/>
                <w:sz w:val="22"/>
                <w:szCs w:val="22"/>
              </w:rPr>
              <w:t xml:space="preserve"> if not renewed 30 days from that date. All paid memberships lapse when the payment of the subscription is overdue by 90 days. At the end of that period, the member is deemed to have resigned, and the membership shall be recorded as inactive. Quarterly payments will also be subject to the 90-day grace period.</w:t>
            </w:r>
          </w:p>
          <w:p w:rsidR="00C826E7" w:rsidRPr="00C826E7"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If a lapsed member has an entry in the Editorial Services Directory that entry wil</w:t>
            </w:r>
            <w:r>
              <w:rPr>
                <w:rFonts w:ascii="Helvetica" w:hAnsi="Helvetica"/>
                <w:sz w:val="22"/>
                <w:szCs w:val="22"/>
              </w:rPr>
              <w:t xml:space="preserve">l </w:t>
            </w:r>
            <w:r w:rsidRPr="00C826E7">
              <w:rPr>
                <w:rFonts w:ascii="Helvetica" w:hAnsi="Helvetica"/>
                <w:sz w:val="22"/>
                <w:szCs w:val="22"/>
              </w:rPr>
              <w:t>also be made inactive, regardless of the date of payment for the entry.</w:t>
            </w:r>
          </w:p>
          <w:p w:rsidR="00C826E7" w:rsidRPr="00C826E7"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C826E7">
              <w:rPr>
                <w:rFonts w:ascii="Helvetica" w:hAnsi="Helvetica"/>
                <w:sz w:val="22"/>
                <w:szCs w:val="22"/>
              </w:rPr>
              <w:t>If a lapsed member pays the subscription due before it becomes 12 months overdue, the membership may be reinstated. However, the term of the reinstated membership shall remain unchanged; that is, the ‘subscribed until’ date shall be that of the overdue subscription.</w:t>
            </w:r>
          </w:p>
          <w:p w:rsidR="00C826E7" w:rsidRPr="00E35CFA"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C826E7">
              <w:rPr>
                <w:rFonts w:ascii="Helvetica" w:hAnsi="Helvetica"/>
                <w:sz w:val="22"/>
                <w:szCs w:val="22"/>
              </w:rPr>
              <w:t>If a member wishes to re</w:t>
            </w:r>
            <w:r>
              <w:rPr>
                <w:rFonts w:ascii="Helvetica" w:hAnsi="Helvetica"/>
                <w:sz w:val="22"/>
                <w:szCs w:val="22"/>
              </w:rPr>
              <w:t>-</w:t>
            </w:r>
            <w:r w:rsidRPr="00C826E7">
              <w:rPr>
                <w:rFonts w:ascii="Helvetica" w:hAnsi="Helvetica"/>
                <w:sz w:val="22"/>
                <w:szCs w:val="22"/>
              </w:rPr>
              <w:t>join more than 12 months after the end date of their last active membership subscription, they shall be required to meet the membership requirements as if they were joining for the first time, including payment of the joining fee</w:t>
            </w:r>
          </w:p>
          <w:p w:rsidR="00E35CFA" w:rsidRPr="00E35CFA" w:rsidRDefault="00E35CFA" w:rsidP="00E35CFA">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c>
          <w:tcPr>
            <w:tcW w:w="4872" w:type="dxa"/>
          </w:tcPr>
          <w:p w:rsidR="00C826E7" w:rsidRPr="00E35CFA"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Members will have to pay on time.</w:t>
            </w:r>
          </w:p>
          <w:p w:rsidR="00C826E7" w:rsidRPr="00E35CFA"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Editing Services Directory entries will be automatically deleted once a membership lapses.</w:t>
            </w:r>
          </w:p>
          <w:p w:rsidR="00C826E7" w:rsidRPr="00C826E7"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E35CFA">
              <w:rPr>
                <w:rFonts w:ascii="Helvetica" w:hAnsi="Helvetica"/>
                <w:sz w:val="22"/>
                <w:szCs w:val="22"/>
              </w:rPr>
              <w:t>If a member lapses more than 12 months they have to re-apply</w:t>
            </w:r>
            <w:r>
              <w:rPr>
                <w:rFonts w:ascii="Helvetica" w:hAnsi="Helvetica"/>
                <w:sz w:val="22"/>
                <w:szCs w:val="22"/>
              </w:rPr>
              <w:t xml:space="preserve"> </w:t>
            </w:r>
            <w:r w:rsidRPr="00C826E7">
              <w:rPr>
                <w:rFonts w:ascii="Helvetica" w:hAnsi="Helvetica"/>
                <w:sz w:val="22"/>
                <w:szCs w:val="22"/>
              </w:rPr>
              <w:t>from scratch.</w:t>
            </w:r>
          </w:p>
          <w:p w:rsidR="00C826E7" w:rsidRDefault="00C826E7" w:rsidP="00C826E7">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r w:rsidRPr="00C826E7">
              <w:rPr>
                <w:rFonts w:ascii="Helvetica" w:hAnsi="Helvetica"/>
                <w:sz w:val="22"/>
                <w:szCs w:val="22"/>
              </w:rPr>
              <w:t>However, hardship and concession fees are available fi required.</w:t>
            </w:r>
          </w:p>
          <w:p w:rsidR="00E35CFA" w:rsidRPr="00E35CFA" w:rsidRDefault="00E35CFA" w:rsidP="00E35CFA">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E35CFA" w:rsidRPr="00E35CFA" w:rsidTr="00C826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5" w:type="dxa"/>
          </w:tcPr>
          <w:p w:rsidR="00C826E7" w:rsidRPr="00E35CFA" w:rsidRDefault="00C826E7" w:rsidP="00C826E7">
            <w:pPr>
              <w:rPr>
                <w:rFonts w:ascii="Helvetica" w:hAnsi="Helvetica"/>
                <w:sz w:val="22"/>
                <w:szCs w:val="22"/>
              </w:rPr>
            </w:pPr>
            <w:r w:rsidRPr="00E35CFA">
              <w:rPr>
                <w:rFonts w:ascii="Helvetica" w:hAnsi="Helvetica"/>
                <w:sz w:val="22"/>
                <w:szCs w:val="22"/>
              </w:rPr>
              <w:t>Administration</w:t>
            </w:r>
          </w:p>
          <w:p w:rsidR="00E35CFA" w:rsidRPr="00E35CFA" w:rsidRDefault="00E35CFA" w:rsidP="00E35CFA">
            <w:pPr>
              <w:rPr>
                <w:rFonts w:ascii="Helvetica" w:hAnsi="Helvetica"/>
                <w:sz w:val="22"/>
                <w:szCs w:val="22"/>
              </w:rPr>
            </w:pPr>
          </w:p>
        </w:tc>
        <w:tc>
          <w:tcPr>
            <w:tcW w:w="6659" w:type="dxa"/>
          </w:tcPr>
          <w:p w:rsidR="00C826E7" w:rsidRPr="00E35CFA" w:rsidRDefault="00C826E7" w:rsidP="00C826E7">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Everyone will use MEMNET.</w:t>
            </w:r>
          </w:p>
          <w:p w:rsidR="00C826E7" w:rsidRPr="00E35CFA" w:rsidRDefault="00C826E7" w:rsidP="00C826E7">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 xml:space="preserve">The system gives members online access to join, renew and update their details, to upload documents and pay through a variety of methods, including a ‘pay later’ option for EFT, </w:t>
            </w:r>
            <w:proofErr w:type="spellStart"/>
            <w:r w:rsidRPr="00E35CFA">
              <w:rPr>
                <w:rFonts w:ascii="Helvetica" w:hAnsi="Helvetica"/>
                <w:sz w:val="22"/>
                <w:szCs w:val="22"/>
              </w:rPr>
              <w:t>BPay</w:t>
            </w:r>
            <w:proofErr w:type="spellEnd"/>
            <w:r w:rsidRPr="00E35CFA">
              <w:rPr>
                <w:rFonts w:ascii="Helvetica" w:hAnsi="Helvetica"/>
                <w:sz w:val="22"/>
                <w:szCs w:val="22"/>
              </w:rPr>
              <w:t xml:space="preserve"> and cheque payments. Existing members will retain their current joining date but new members will be recorded from their actual date of joining, avoiding the issue of part-year joining fees.</w:t>
            </w:r>
          </w:p>
          <w:p w:rsidR="00C826E7" w:rsidRPr="00E35CFA" w:rsidRDefault="00C826E7" w:rsidP="00C826E7">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The system also records member take-up of professional development through online registration for branch training events and conferences. It will also operate the national freelance register with multiple search fields (see below).</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c>
          <w:tcPr>
            <w:tcW w:w="4872" w:type="dxa"/>
          </w:tcPr>
          <w:p w:rsidR="00C826E7" w:rsidRPr="00E35CFA" w:rsidRDefault="00C826E7" w:rsidP="00C826E7">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Expected to save a lot of time in processing memberships.</w:t>
            </w:r>
          </w:p>
          <w:p w:rsidR="00C826E7" w:rsidRPr="00E35CFA" w:rsidRDefault="00C826E7" w:rsidP="00C826E7">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It will be a huge benefit for the Accreditation Board when assessing renewals</w:t>
            </w:r>
            <w:r>
              <w:rPr>
                <w:rFonts w:ascii="Helvetica" w:hAnsi="Helvetica"/>
                <w:sz w:val="22"/>
                <w:szCs w:val="22"/>
              </w:rPr>
              <w:t xml:space="preserve"> as they</w:t>
            </w:r>
            <w:r w:rsidRPr="00E35CFA">
              <w:rPr>
                <w:rFonts w:ascii="Helvetica" w:hAnsi="Helvetica"/>
                <w:sz w:val="22"/>
                <w:szCs w:val="22"/>
              </w:rPr>
              <w:t>:</w:t>
            </w:r>
          </w:p>
          <w:p w:rsidR="00C826E7" w:rsidRPr="00C826E7" w:rsidRDefault="00C826E7" w:rsidP="00C826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roofErr w:type="gramStart"/>
            <w:r>
              <w:rPr>
                <w:rFonts w:ascii="Helvetica" w:hAnsi="Helvetica"/>
                <w:sz w:val="22"/>
                <w:szCs w:val="22"/>
              </w:rPr>
              <w:t>w</w:t>
            </w:r>
            <w:r w:rsidRPr="00C826E7">
              <w:rPr>
                <w:rFonts w:ascii="Helvetica" w:hAnsi="Helvetica"/>
                <w:sz w:val="22"/>
                <w:szCs w:val="22"/>
              </w:rPr>
              <w:t>on’t</w:t>
            </w:r>
            <w:proofErr w:type="gramEnd"/>
            <w:r w:rsidRPr="00C826E7">
              <w:rPr>
                <w:rFonts w:ascii="Helvetica" w:hAnsi="Helvetica"/>
                <w:sz w:val="22"/>
                <w:szCs w:val="22"/>
              </w:rPr>
              <w:t xml:space="preserve"> have to maintain a separate database of AE</w:t>
            </w:r>
            <w:bookmarkStart w:id="0" w:name="_GoBack"/>
            <w:bookmarkEnd w:id="0"/>
            <w:r w:rsidRPr="00C826E7">
              <w:rPr>
                <w:rFonts w:ascii="Helvetica" w:hAnsi="Helvetica"/>
                <w:sz w:val="22"/>
                <w:szCs w:val="22"/>
              </w:rPr>
              <w:t>s</w:t>
            </w:r>
          </w:p>
          <w:p w:rsidR="00C826E7" w:rsidRPr="00C826E7" w:rsidRDefault="00C826E7" w:rsidP="00C826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roofErr w:type="gramStart"/>
            <w:r w:rsidRPr="00C826E7">
              <w:rPr>
                <w:rFonts w:ascii="Helvetica" w:hAnsi="Helvetica"/>
                <w:sz w:val="22"/>
                <w:szCs w:val="22"/>
              </w:rPr>
              <w:t>will</w:t>
            </w:r>
            <w:proofErr w:type="gramEnd"/>
            <w:r w:rsidRPr="00C826E7">
              <w:rPr>
                <w:rFonts w:ascii="Helvetica" w:hAnsi="Helvetica"/>
                <w:sz w:val="22"/>
                <w:szCs w:val="22"/>
              </w:rPr>
              <w:t xml:space="preserve"> have access to up-to-date email addresses of AEs needing renewal</w:t>
            </w:r>
          </w:p>
          <w:p w:rsidR="00C826E7" w:rsidRPr="00C826E7" w:rsidRDefault="00C826E7" w:rsidP="00C826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roofErr w:type="gramStart"/>
            <w:r w:rsidRPr="00C826E7">
              <w:rPr>
                <w:rFonts w:ascii="Helvetica" w:hAnsi="Helvetica"/>
                <w:sz w:val="22"/>
                <w:szCs w:val="22"/>
              </w:rPr>
              <w:t>will</w:t>
            </w:r>
            <w:proofErr w:type="gramEnd"/>
            <w:r w:rsidRPr="00C826E7">
              <w:rPr>
                <w:rFonts w:ascii="Helvetica" w:hAnsi="Helvetica"/>
                <w:sz w:val="22"/>
                <w:szCs w:val="22"/>
              </w:rPr>
              <w:t xml:space="preserve"> have access to professional development activities of AEs applying for renewal.</w:t>
            </w:r>
          </w:p>
          <w:p w:rsidR="00C826E7" w:rsidRPr="00E35CFA" w:rsidRDefault="00C826E7" w:rsidP="00C826E7">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r w:rsidRPr="00E35CFA">
              <w:rPr>
                <w:rFonts w:ascii="Helvetica" w:hAnsi="Helvetica"/>
                <w:sz w:val="22"/>
                <w:szCs w:val="22"/>
              </w:rPr>
              <w:t>￼</w:t>
            </w:r>
          </w:p>
          <w:p w:rsidR="00E35CFA" w:rsidRPr="00E35CFA" w:rsidRDefault="00E35CFA" w:rsidP="00E35CFA">
            <w:pPr>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bl>
    <w:p w:rsidR="00E35CFA" w:rsidRDefault="00E35CFA" w:rsidP="00E35CFA">
      <w:pPr>
        <w:rPr>
          <w:rFonts w:ascii="Helvetica" w:hAnsi="Helvetica"/>
          <w:sz w:val="22"/>
          <w:szCs w:val="22"/>
        </w:rPr>
      </w:pPr>
    </w:p>
    <w:p w:rsidR="00C826E7" w:rsidRDefault="00C826E7">
      <w:pPr>
        <w:rPr>
          <w:lang w:val="en-US"/>
        </w:rPr>
      </w:pPr>
    </w:p>
    <w:sectPr w:rsidR="00C826E7" w:rsidSect="00D33683">
      <w:pgSz w:w="15840" w:h="12240" w:orient="landscape"/>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A734B"/>
    <w:multiLevelType w:val="hybridMultilevel"/>
    <w:tmpl w:val="B10A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83"/>
    <w:rsid w:val="009A1DC0"/>
    <w:rsid w:val="00C826E7"/>
    <w:rsid w:val="00D33683"/>
    <w:rsid w:val="00D723D1"/>
    <w:rsid w:val="00E35CFA"/>
    <w:rsid w:val="00E3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5D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336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336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6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3683"/>
    <w:rPr>
      <w:rFonts w:ascii="Lucida Grande" w:hAnsi="Lucida Grande" w:cs="Lucida Grande"/>
      <w:sz w:val="18"/>
      <w:szCs w:val="18"/>
      <w:lang w:val="en-AU"/>
    </w:rPr>
  </w:style>
  <w:style w:type="table" w:styleId="TableGrid">
    <w:name w:val="Table Grid"/>
    <w:basedOn w:val="TableNormal"/>
    <w:uiPriority w:val="59"/>
    <w:rsid w:val="00D336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3683"/>
    <w:rPr>
      <w:rFonts w:asciiTheme="majorHAnsi" w:eastAsiaTheme="majorEastAsia" w:hAnsiTheme="majorHAnsi" w:cstheme="majorBidi"/>
      <w:b/>
      <w:bCs/>
      <w:color w:val="345A8A" w:themeColor="accent1" w:themeShade="B5"/>
      <w:sz w:val="32"/>
      <w:szCs w:val="32"/>
      <w:lang w:val="en-AU"/>
    </w:rPr>
  </w:style>
  <w:style w:type="character" w:customStyle="1" w:styleId="Heading2Char">
    <w:name w:val="Heading 2 Char"/>
    <w:basedOn w:val="DefaultParagraphFont"/>
    <w:link w:val="Heading2"/>
    <w:uiPriority w:val="9"/>
    <w:rsid w:val="00D33683"/>
    <w:rPr>
      <w:rFonts w:asciiTheme="majorHAnsi" w:eastAsiaTheme="majorEastAsia" w:hAnsiTheme="majorHAnsi" w:cstheme="majorBidi"/>
      <w:b/>
      <w:bCs/>
      <w:color w:val="4F81BD" w:themeColor="accent1"/>
      <w:sz w:val="26"/>
      <w:szCs w:val="26"/>
      <w:lang w:val="en-AU"/>
    </w:rPr>
  </w:style>
  <w:style w:type="table" w:styleId="LightList-Accent5">
    <w:name w:val="Light List Accent 5"/>
    <w:basedOn w:val="TableNormal"/>
    <w:uiPriority w:val="61"/>
    <w:rsid w:val="00E35CF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C826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336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336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6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3683"/>
    <w:rPr>
      <w:rFonts w:ascii="Lucida Grande" w:hAnsi="Lucida Grande" w:cs="Lucida Grande"/>
      <w:sz w:val="18"/>
      <w:szCs w:val="18"/>
      <w:lang w:val="en-AU"/>
    </w:rPr>
  </w:style>
  <w:style w:type="table" w:styleId="TableGrid">
    <w:name w:val="Table Grid"/>
    <w:basedOn w:val="TableNormal"/>
    <w:uiPriority w:val="59"/>
    <w:rsid w:val="00D336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3683"/>
    <w:rPr>
      <w:rFonts w:asciiTheme="majorHAnsi" w:eastAsiaTheme="majorEastAsia" w:hAnsiTheme="majorHAnsi" w:cstheme="majorBidi"/>
      <w:b/>
      <w:bCs/>
      <w:color w:val="345A8A" w:themeColor="accent1" w:themeShade="B5"/>
      <w:sz w:val="32"/>
      <w:szCs w:val="32"/>
      <w:lang w:val="en-AU"/>
    </w:rPr>
  </w:style>
  <w:style w:type="character" w:customStyle="1" w:styleId="Heading2Char">
    <w:name w:val="Heading 2 Char"/>
    <w:basedOn w:val="DefaultParagraphFont"/>
    <w:link w:val="Heading2"/>
    <w:uiPriority w:val="9"/>
    <w:rsid w:val="00D33683"/>
    <w:rPr>
      <w:rFonts w:asciiTheme="majorHAnsi" w:eastAsiaTheme="majorEastAsia" w:hAnsiTheme="majorHAnsi" w:cstheme="majorBidi"/>
      <w:b/>
      <w:bCs/>
      <w:color w:val="4F81BD" w:themeColor="accent1"/>
      <w:sz w:val="26"/>
      <w:szCs w:val="26"/>
      <w:lang w:val="en-AU"/>
    </w:rPr>
  </w:style>
  <w:style w:type="table" w:styleId="LightList-Accent5">
    <w:name w:val="Light List Accent 5"/>
    <w:basedOn w:val="TableNormal"/>
    <w:uiPriority w:val="61"/>
    <w:rsid w:val="00E35CF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C82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959</Words>
  <Characters>5471</Characters>
  <Application>Microsoft Macintosh Word</Application>
  <DocSecurity>0</DocSecurity>
  <Lines>45</Lines>
  <Paragraphs>12</Paragraphs>
  <ScaleCrop>false</ScaleCrop>
  <Company>J3DI</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Idriss</dc:creator>
  <cp:keywords/>
  <dc:description/>
  <cp:lastModifiedBy>Johann Idriss</cp:lastModifiedBy>
  <cp:revision>1</cp:revision>
  <dcterms:created xsi:type="dcterms:W3CDTF">2015-10-08T21:31:00Z</dcterms:created>
  <dcterms:modified xsi:type="dcterms:W3CDTF">2015-10-08T22:16:00Z</dcterms:modified>
</cp:coreProperties>
</file>